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00000A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00000A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00000A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00000A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6"/>
        <w:gridCol w:w="1841"/>
        <w:gridCol w:w="1276"/>
        <w:gridCol w:w="1845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38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38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00000A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943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1"/>
        <w:gridCol w:w="2656"/>
        <w:gridCol w:w="1070"/>
        <w:gridCol w:w="1034"/>
        <w:gridCol w:w="1029"/>
        <w:gridCol w:w="1"/>
        <w:gridCol w:w="908"/>
        <w:gridCol w:w="997"/>
        <w:gridCol w:w="993"/>
      </w:tblGrid>
      <w:tr>
        <w:trPr>
          <w:trHeight w:val="562" w:hRule="atLeast"/>
        </w:trPr>
        <w:tc>
          <w:tcPr>
            <w:tcW w:w="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38" w:hanging="238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  <w:lang w:val="pl-PL"/>
        </w:rPr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Footnotetext"/>
        <w:ind w:left="238" w:hanging="238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  <w:lang w:val="x-none" w:eastAsia="x-none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  <w:lang w:val="x-none" w:eastAsia="x-none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LibreOffice/5.2.1.2$Windows_X86_64 LibreOffice_project/31dd62db80d4e60af04904455ec9c9219178d620</Application>
  <Pages>2</Pages>
  <Words>309</Words>
  <Characters>2280</Characters>
  <CharactersWithSpaces>2595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2018-10-26T08:40:00Z</dcterms:created>
  <dc:creator/>
  <dc:description/>
  <dc:language>pl-PL</dc:language>
  <cp:lastModifiedBy/>
  <dcterms:modified xsi:type="dcterms:W3CDTF">2019-02-13T09:18:00Z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